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869C2" w14:textId="56B7AAE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C82BAA">
        <w:t>7</w:t>
      </w:r>
      <w:r w:rsidR="00EB0825">
        <w:t>-</w:t>
      </w:r>
      <w:r w:rsidR="00F20F5C">
        <w:t>e</w:t>
      </w:r>
      <w:r w:rsidRPr="00CE0424">
        <w:tab/>
      </w:r>
      <w:r w:rsidR="00F20D09">
        <w:rPr>
          <w:sz w:val="32"/>
          <w:szCs w:val="32"/>
        </w:rPr>
        <w:t xml:space="preserve">Tdoc </w:t>
      </w:r>
      <w:r w:rsidR="00735008" w:rsidRPr="00735008">
        <w:rPr>
          <w:sz w:val="32"/>
          <w:szCs w:val="32"/>
        </w:rPr>
        <w:t>R2-2203483</w:t>
      </w:r>
    </w:p>
    <w:p w14:paraId="40220A82" w14:textId="1E554C67" w:rsidR="00E90E49" w:rsidRPr="00CE0424" w:rsidRDefault="00C268E6" w:rsidP="00357380">
      <w:pPr>
        <w:pStyle w:val="3GPPHeader"/>
      </w:pPr>
      <w:r>
        <w:t xml:space="preserve">Electronic meeting, </w:t>
      </w:r>
      <w:r w:rsidR="00EB0825" w:rsidRPr="002270E9">
        <w:t>202</w:t>
      </w:r>
      <w:r w:rsidR="00EB0825">
        <w:t>2</w:t>
      </w:r>
      <w:r w:rsidR="00EB0825" w:rsidRPr="002270E9">
        <w:t>-</w:t>
      </w:r>
      <w:r w:rsidR="00EB0825">
        <w:t>0</w:t>
      </w:r>
      <w:r w:rsidR="00C82BAA">
        <w:t>2</w:t>
      </w:r>
      <w:r w:rsidR="00EB0825" w:rsidRPr="002270E9">
        <w:t>-</w:t>
      </w:r>
      <w:r w:rsidR="00C82BAA">
        <w:t>21</w:t>
      </w:r>
      <w:r w:rsidR="00EB0825" w:rsidRPr="002270E9">
        <w:t xml:space="preserve"> - 202</w:t>
      </w:r>
      <w:r w:rsidR="00EB0825">
        <w:t>2</w:t>
      </w:r>
      <w:r w:rsidR="00EB0825" w:rsidRPr="002270E9">
        <w:t>-</w:t>
      </w:r>
      <w:r w:rsidR="00C82BAA">
        <w:t>03</w:t>
      </w:r>
      <w:r w:rsidR="00EB0825">
        <w:t>-</w:t>
      </w:r>
      <w:r w:rsidR="00C82BAA">
        <w:t>03</w:t>
      </w:r>
      <w:r w:rsidR="000E1D59">
        <w:tab/>
      </w:r>
    </w:p>
    <w:p w14:paraId="74F9F916" w14:textId="576BF04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12BCE">
        <w:rPr>
          <w:sz w:val="22"/>
          <w:szCs w:val="22"/>
        </w:rPr>
        <w:t>9.2.3</w:t>
      </w:r>
      <w:r w:rsidR="00C82BAA">
        <w:rPr>
          <w:sz w:val="22"/>
          <w:szCs w:val="22"/>
        </w:rPr>
        <w:t>.2</w:t>
      </w:r>
    </w:p>
    <w:p w14:paraId="34D5B55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59B4159" w14:textId="5CFA376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12BCE">
        <w:rPr>
          <w:sz w:val="22"/>
          <w:szCs w:val="22"/>
        </w:rPr>
        <w:t>User plane aspects of NB-IoT and LTE-M in NTNs</w:t>
      </w:r>
    </w:p>
    <w:p w14:paraId="3026AC47" w14:textId="57529662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12BCE">
        <w:rPr>
          <w:sz w:val="22"/>
          <w:szCs w:val="22"/>
        </w:rPr>
        <w:t>Discussion, Decision</w:t>
      </w:r>
    </w:p>
    <w:p w14:paraId="56D0E725" w14:textId="77777777" w:rsidR="00DF3D53" w:rsidRPr="00CE0424" w:rsidRDefault="00DF3D53" w:rsidP="00DF3D53">
      <w:pPr>
        <w:pStyle w:val="BodyText"/>
        <w:rPr>
          <w:sz w:val="22"/>
          <w:szCs w:val="22"/>
        </w:rPr>
      </w:pPr>
    </w:p>
    <w:p w14:paraId="1ED98A6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D2D2513" w14:textId="68C421B9" w:rsidR="000E3D55" w:rsidRPr="00CE0424" w:rsidRDefault="00DF3D53" w:rsidP="00CE0424">
      <w:pPr>
        <w:pStyle w:val="BodyText"/>
      </w:pPr>
      <w:r w:rsidRPr="00DF3D53">
        <w:t xml:space="preserve">In this contribution, we </w:t>
      </w:r>
      <w:r w:rsidR="00D45E7F">
        <w:t>give</w:t>
      </w:r>
      <w:r w:rsidRPr="00DF3D53">
        <w:t xml:space="preserve"> an overview of</w:t>
      </w:r>
      <w:r w:rsidR="00412387">
        <w:t xml:space="preserve"> the </w:t>
      </w:r>
      <w:r w:rsidR="00E61380">
        <w:t>remaining</w:t>
      </w:r>
      <w:r w:rsidR="00412387">
        <w:t xml:space="preserve"> user plane changes</w:t>
      </w:r>
      <w:r w:rsidR="00687D8F">
        <w:t xml:space="preserve"> when adapting NB-IoT and LTE-M to</w:t>
      </w:r>
      <w:r w:rsidR="00235842">
        <w:t xml:space="preserve"> support</w:t>
      </w:r>
      <w:r w:rsidR="00687D8F">
        <w:t xml:space="preserve"> NTNs</w:t>
      </w:r>
      <w:r w:rsidRPr="00DF3D53">
        <w:t>.</w:t>
      </w:r>
      <w:r w:rsidR="00412387">
        <w:t xml:space="preserve"> </w:t>
      </w:r>
    </w:p>
    <w:p w14:paraId="0A3D30A2" w14:textId="71E31144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8B260AA" w14:textId="603C1B78" w:rsidR="005F5144" w:rsidRDefault="005F5144" w:rsidP="005F5144">
      <w:pPr>
        <w:pStyle w:val="Heading2"/>
      </w:pPr>
      <w:r>
        <w:t xml:space="preserve">2.1 </w:t>
      </w:r>
      <w:r w:rsidR="004A0FA7" w:rsidRPr="00082B01">
        <w:rPr>
          <w:lang w:val="en-US"/>
        </w:rPr>
        <w:t>OI 1.10 [Company Tdocs Invited]: Whether SR can be triggered if there is no available or sufficient UL-SCH resources for the triggered TA reporting?</w:t>
      </w:r>
    </w:p>
    <w:p w14:paraId="100CCBEC" w14:textId="32D2D453" w:rsidR="00D319C8" w:rsidRPr="00D319C8" w:rsidRDefault="00D319C8" w:rsidP="00D319C8">
      <w:pPr>
        <w:rPr>
          <w:rFonts w:ascii="Arial" w:hAnsi="Arial" w:cs="Arial"/>
        </w:rPr>
      </w:pPr>
      <w:r w:rsidRPr="00D319C8">
        <w:rPr>
          <w:rFonts w:ascii="Arial" w:hAnsi="Arial" w:cs="Arial"/>
        </w:rPr>
        <w:t xml:space="preserve">The UE should never trigger an SR if the UE </w:t>
      </w:r>
      <w:r w:rsidR="00122B5B">
        <w:rPr>
          <w:rFonts w:ascii="Arial" w:hAnsi="Arial" w:cs="Arial"/>
        </w:rPr>
        <w:t>has</w:t>
      </w:r>
      <w:r w:rsidRPr="00D319C8">
        <w:rPr>
          <w:rFonts w:ascii="Arial" w:hAnsi="Arial" w:cs="Arial"/>
        </w:rPr>
        <w:t xml:space="preserve"> UL-SCH resources. When there is a grant available, then the UE should include a TA report if a TA report have been triggered. </w:t>
      </w:r>
    </w:p>
    <w:p w14:paraId="55F7E903" w14:textId="2708F749" w:rsidR="00D319C8" w:rsidRPr="00D319C8" w:rsidRDefault="00D319C8" w:rsidP="00D319C8">
      <w:pPr>
        <w:rPr>
          <w:rFonts w:ascii="Arial" w:hAnsi="Arial" w:cs="Arial"/>
        </w:rPr>
      </w:pPr>
      <w:r w:rsidRPr="00D319C8">
        <w:rPr>
          <w:rFonts w:ascii="Arial" w:hAnsi="Arial" w:cs="Arial"/>
        </w:rPr>
        <w:t xml:space="preserve">If UE has no UL data and </w:t>
      </w:r>
      <w:r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 xml:space="preserve">NB has DL data, the </w:t>
      </w:r>
      <w:r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 xml:space="preserve">NB can send an UL grant if </w:t>
      </w:r>
      <w:r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 xml:space="preserve">NB suspects the UE need to report the TA or </w:t>
      </w:r>
      <w:r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 xml:space="preserve">NB can send a DL MAC CE to update the UE-specific-Koffset (for example set it to the cell specific Koffset). </w:t>
      </w:r>
    </w:p>
    <w:p w14:paraId="22B2EE7C" w14:textId="2DA62D69" w:rsidR="00D319C8" w:rsidRPr="00D319C8" w:rsidRDefault="00D319C8" w:rsidP="00D319C8">
      <w:pPr>
        <w:rPr>
          <w:rFonts w:ascii="Arial" w:hAnsi="Arial" w:cs="Arial"/>
        </w:rPr>
      </w:pPr>
      <w:r w:rsidRPr="00D319C8">
        <w:rPr>
          <w:rFonts w:ascii="Arial" w:hAnsi="Arial" w:cs="Arial"/>
        </w:rPr>
        <w:t xml:space="preserve">If there </w:t>
      </w:r>
      <w:r>
        <w:rPr>
          <w:rFonts w:ascii="Arial" w:hAnsi="Arial" w:cs="Arial"/>
        </w:rPr>
        <w:t xml:space="preserve">has </w:t>
      </w:r>
      <w:r w:rsidRPr="00D319C8">
        <w:rPr>
          <w:rFonts w:ascii="Arial" w:hAnsi="Arial" w:cs="Arial"/>
        </w:rPr>
        <w:t xml:space="preserve">been no communication with the UE for a while and data arrives (either DL data or UL data resulting in an SR), and the </w:t>
      </w:r>
      <w:r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 xml:space="preserve">NB is not sure if the UE has a UE-speciffic Koffset that is sufficiently large: the </w:t>
      </w:r>
      <w:r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>NB can send a DL MAC CE to update the UE-specific Koffset (for example set it to the cell specific Koffset). Alternatively</w:t>
      </w:r>
      <w:r>
        <w:rPr>
          <w:rFonts w:ascii="Arial" w:hAnsi="Arial" w:cs="Arial"/>
        </w:rPr>
        <w:t>,</w:t>
      </w:r>
      <w:r w:rsidRPr="00D319C8">
        <w:rPr>
          <w:rFonts w:ascii="Arial" w:hAnsi="Arial" w:cs="Arial"/>
        </w:rPr>
        <w:t xml:space="preserve"> </w:t>
      </w:r>
      <w:r w:rsidR="00AD71CF">
        <w:rPr>
          <w:rFonts w:ascii="Arial" w:hAnsi="Arial" w:cs="Arial"/>
        </w:rPr>
        <w:t>e</w:t>
      </w:r>
      <w:r w:rsidRPr="00D319C8">
        <w:rPr>
          <w:rFonts w:ascii="Arial" w:hAnsi="Arial" w:cs="Arial"/>
        </w:rPr>
        <w:t xml:space="preserve">NB can send an PDCCH order and the UE will reply with a TA report in the Msg3 (RAN1 have agreed that for PDCCH order, the UE shall always apply the cell-specific Koffset). </w:t>
      </w:r>
    </w:p>
    <w:p w14:paraId="4573CF15" w14:textId="77777777" w:rsidR="00D319C8" w:rsidRPr="00D319C8" w:rsidRDefault="00D319C8" w:rsidP="00D319C8">
      <w:pPr>
        <w:rPr>
          <w:rFonts w:ascii="Arial" w:hAnsi="Arial" w:cs="Arial"/>
        </w:rPr>
      </w:pPr>
      <w:r w:rsidRPr="00D319C8">
        <w:rPr>
          <w:rFonts w:ascii="Arial" w:hAnsi="Arial" w:cs="Arial"/>
        </w:rPr>
        <w:t xml:space="preserve">We propose </w:t>
      </w:r>
    </w:p>
    <w:p w14:paraId="272925BB" w14:textId="455721FC" w:rsidR="0072794F" w:rsidRDefault="00D319C8" w:rsidP="008525DD">
      <w:pPr>
        <w:pStyle w:val="Proposal"/>
        <w:rPr>
          <w:rFonts w:cs="Arial"/>
        </w:rPr>
      </w:pPr>
      <w:bookmarkStart w:id="1" w:name="_Toc95772722"/>
      <w:r w:rsidRPr="00D319C8">
        <w:t>A triggered TA report does not trigger an SR.</w:t>
      </w:r>
      <w:bookmarkEnd w:id="1"/>
    </w:p>
    <w:p w14:paraId="0F1B6E08" w14:textId="5FDB788B" w:rsidR="008525DD" w:rsidRDefault="008525DD" w:rsidP="00391A1F">
      <w:pPr>
        <w:rPr>
          <w:rFonts w:ascii="Arial" w:hAnsi="Arial" w:cs="Arial"/>
        </w:rPr>
      </w:pPr>
    </w:p>
    <w:p w14:paraId="4F2AFDCF" w14:textId="18259B86" w:rsidR="004A0FA7" w:rsidRDefault="004A0FA7" w:rsidP="004A0FA7">
      <w:pPr>
        <w:pStyle w:val="Heading2"/>
      </w:pPr>
      <w:r>
        <w:t xml:space="preserve">2.1 </w:t>
      </w:r>
      <w:r w:rsidRPr="004A0FA7">
        <w:rPr>
          <w:lang w:val="en-US"/>
        </w:rPr>
        <w:t>OI 2.8 [Company Tdocs invited]: Configuration of event-triggered TA report</w:t>
      </w:r>
    </w:p>
    <w:p w14:paraId="642CAC40" w14:textId="757170A1" w:rsidR="00AA08BD" w:rsidRDefault="00AA08BD" w:rsidP="00AA08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TA report shall be triggered if the </w:t>
      </w:r>
      <w:r w:rsidR="00342550">
        <w:rPr>
          <w:rFonts w:ascii="Arial" w:hAnsi="Arial" w:cs="Arial"/>
        </w:rPr>
        <w:t xml:space="preserve">timing Advance </w:t>
      </w:r>
      <w:r>
        <w:rPr>
          <w:rFonts w:ascii="Arial" w:hAnsi="Arial" w:cs="Arial"/>
        </w:rPr>
        <w:t>cha</w:t>
      </w:r>
      <w:r w:rsidR="0034255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ges more than an offset from last successful reported TA, we need an offset. </w:t>
      </w:r>
    </w:p>
    <w:p w14:paraId="3972A71F" w14:textId="7C92104E" w:rsidR="00AA08BD" w:rsidRPr="00AA08BD" w:rsidRDefault="00AA08BD" w:rsidP="00AA08BD">
      <w:pPr>
        <w:rPr>
          <w:rFonts w:ascii="Arial" w:hAnsi="Arial" w:cs="Arial"/>
        </w:rPr>
      </w:pPr>
      <w:r w:rsidRPr="00AA08BD">
        <w:rPr>
          <w:rFonts w:ascii="Arial" w:hAnsi="Arial" w:cs="Arial"/>
        </w:rPr>
        <w:t>The range must include values lower than 1 ms (if frequent reports are wanted more often than the need to change the UE specific Koffset), the value 1 ms</w:t>
      </w:r>
      <w:r w:rsidR="00844A19">
        <w:rPr>
          <w:rFonts w:ascii="Arial" w:hAnsi="Arial" w:cs="Arial"/>
        </w:rPr>
        <w:t>,</w:t>
      </w:r>
      <w:r w:rsidRPr="00AA08BD">
        <w:rPr>
          <w:rFonts w:ascii="Arial" w:hAnsi="Arial" w:cs="Arial"/>
        </w:rPr>
        <w:t xml:space="preserve"> and values larger than 1 ms (in case strategy is to change the Koffset in steps larger than 1 ms). For example {0.1 ms, 0.3 ms, 0.5ms, 1 ms, 1.5 ms, 2 ms, 2.5 ms, 3 ms}</w:t>
      </w:r>
      <w:r w:rsidR="00342550">
        <w:rPr>
          <w:rFonts w:ascii="Arial" w:hAnsi="Arial" w:cs="Arial"/>
        </w:rPr>
        <w:t xml:space="preserve">. </w:t>
      </w:r>
      <w:r w:rsidRPr="00AA08BD">
        <w:rPr>
          <w:rFonts w:ascii="Arial" w:hAnsi="Arial" w:cs="Arial"/>
        </w:rPr>
        <w:t xml:space="preserve">The </w:t>
      </w:r>
      <w:r w:rsidR="00342550">
        <w:rPr>
          <w:rFonts w:ascii="Arial" w:hAnsi="Arial" w:cs="Arial"/>
        </w:rPr>
        <w:t xml:space="preserve">threshold </w:t>
      </w:r>
      <w:r w:rsidRPr="00AA08BD">
        <w:rPr>
          <w:rFonts w:ascii="Arial" w:hAnsi="Arial" w:cs="Arial"/>
        </w:rPr>
        <w:t xml:space="preserve">may be in </w:t>
      </w:r>
      <w:r w:rsidR="000F0B04" w:rsidRPr="000F0B04">
        <w:rPr>
          <w:rFonts w:ascii="Arial" w:hAnsi="Arial" w:cs="Arial"/>
        </w:rPr>
        <w:t>MAC-MainConfig</w:t>
      </w:r>
      <w:r w:rsidR="00342550">
        <w:rPr>
          <w:rFonts w:ascii="Arial" w:hAnsi="Arial" w:cs="Arial"/>
        </w:rPr>
        <w:t>.</w:t>
      </w:r>
      <w:r w:rsidRPr="00AA08BD">
        <w:rPr>
          <w:rFonts w:ascii="Arial" w:hAnsi="Arial" w:cs="Arial"/>
        </w:rPr>
        <w:t xml:space="preserve"> </w:t>
      </w:r>
    </w:p>
    <w:p w14:paraId="70FEAC2C" w14:textId="18377F2C" w:rsidR="005C5984" w:rsidRDefault="00342550" w:rsidP="005C5984">
      <w:pPr>
        <w:pStyle w:val="Proposal"/>
        <w:rPr>
          <w:rFonts w:cs="Arial"/>
        </w:rPr>
      </w:pPr>
      <w:bookmarkStart w:id="2" w:name="_Toc95772723"/>
      <w:r>
        <w:rPr>
          <w:rFonts w:cs="Arial"/>
        </w:rPr>
        <w:t xml:space="preserve">Add an offset threshold for TA report triggering in the </w:t>
      </w:r>
      <w:r w:rsidRPr="000F0B04">
        <w:rPr>
          <w:rFonts w:cs="Arial"/>
        </w:rPr>
        <w:t>MAC-MainConfig</w:t>
      </w:r>
      <w:r>
        <w:rPr>
          <w:rFonts w:cs="Arial"/>
        </w:rPr>
        <w:t>.</w:t>
      </w:r>
      <w:bookmarkEnd w:id="2"/>
      <w:r>
        <w:rPr>
          <w:rFonts w:cs="Arial"/>
        </w:rPr>
        <w:t xml:space="preserve"> </w:t>
      </w:r>
    </w:p>
    <w:p w14:paraId="241667CB" w14:textId="48D6B375" w:rsidR="00342550" w:rsidRDefault="00342550" w:rsidP="005C5984">
      <w:pPr>
        <w:pStyle w:val="Proposal"/>
        <w:rPr>
          <w:rFonts w:cs="Arial"/>
        </w:rPr>
      </w:pPr>
      <w:bookmarkStart w:id="3" w:name="_Toc95772724"/>
      <w:r>
        <w:rPr>
          <w:rFonts w:cs="Arial"/>
        </w:rPr>
        <w:lastRenderedPageBreak/>
        <w:t xml:space="preserve">Add </w:t>
      </w:r>
      <w:r w:rsidR="00D51B41">
        <w:rPr>
          <w:rFonts w:cs="Arial"/>
        </w:rPr>
        <w:t xml:space="preserve">the offset </w:t>
      </w:r>
      <w:r>
        <w:rPr>
          <w:rFonts w:cs="Arial"/>
        </w:rPr>
        <w:t xml:space="preserve">thresholds </w:t>
      </w:r>
      <w:r w:rsidRPr="00AA08BD">
        <w:rPr>
          <w:rFonts w:cs="Arial"/>
        </w:rPr>
        <w:t>{0.1 ms, 0.3 ms, 0.5ms, 1 ms, 1.5 ms, 2 ms, 2.5 ms, 3 ms}</w:t>
      </w:r>
      <w:r w:rsidR="00D51B41">
        <w:rPr>
          <w:rFonts w:cs="Arial"/>
        </w:rPr>
        <w:t xml:space="preserve"> for TA reporting</w:t>
      </w:r>
      <w:bookmarkEnd w:id="3"/>
    </w:p>
    <w:p w14:paraId="4F4D408F" w14:textId="723A8C7F" w:rsidR="00A444F6" w:rsidRDefault="00A444F6" w:rsidP="00A444F6"/>
    <w:p w14:paraId="1C67CC37" w14:textId="1C144DEE" w:rsidR="00391A1F" w:rsidRDefault="00391A1F" w:rsidP="00391A1F">
      <w:pPr>
        <w:pStyle w:val="Heading1"/>
      </w:pPr>
      <w:r>
        <w:t>3</w:t>
      </w:r>
      <w:r>
        <w:tab/>
        <w:t>Conclusions</w:t>
      </w:r>
    </w:p>
    <w:p w14:paraId="3C97C9F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D9578CA" w14:textId="77777777" w:rsidR="00EC317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72722" w:history="1">
        <w:r w:rsidR="00EC3171" w:rsidRPr="00324EB0">
          <w:rPr>
            <w:rStyle w:val="Hyperlink"/>
            <w:rFonts w:cs="Arial"/>
            <w:noProof/>
          </w:rPr>
          <w:t>Proposal 1</w:t>
        </w:r>
        <w:r w:rsidR="00EC317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EC3171" w:rsidRPr="00324EB0">
          <w:rPr>
            <w:rStyle w:val="Hyperlink"/>
            <w:noProof/>
          </w:rPr>
          <w:t>A triggered TA report does not trigger an SR.</w:t>
        </w:r>
      </w:hyperlink>
    </w:p>
    <w:p w14:paraId="7A47B353" w14:textId="77777777" w:rsidR="00EC3171" w:rsidRDefault="007350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772723" w:history="1">
        <w:r w:rsidR="00EC3171" w:rsidRPr="00324EB0">
          <w:rPr>
            <w:rStyle w:val="Hyperlink"/>
            <w:rFonts w:cs="Arial"/>
            <w:noProof/>
          </w:rPr>
          <w:t>Proposal 2</w:t>
        </w:r>
        <w:r w:rsidR="00EC317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EC3171" w:rsidRPr="00324EB0">
          <w:rPr>
            <w:rStyle w:val="Hyperlink"/>
            <w:rFonts w:cs="Arial"/>
            <w:noProof/>
          </w:rPr>
          <w:t>Add an offset threshold for TA report triggering in the MAC-MainConfig.</w:t>
        </w:r>
      </w:hyperlink>
    </w:p>
    <w:p w14:paraId="2BB75E1B" w14:textId="77777777" w:rsidR="00EC3171" w:rsidRDefault="007350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772724" w:history="1">
        <w:r w:rsidR="00EC3171" w:rsidRPr="00324EB0">
          <w:rPr>
            <w:rStyle w:val="Hyperlink"/>
            <w:rFonts w:cs="Arial"/>
            <w:noProof/>
          </w:rPr>
          <w:t>Proposal 3</w:t>
        </w:r>
        <w:r w:rsidR="00EC317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EC3171" w:rsidRPr="00324EB0">
          <w:rPr>
            <w:rStyle w:val="Hyperlink"/>
            <w:rFonts w:cs="Arial"/>
            <w:noProof/>
          </w:rPr>
          <w:t>Add the offset thresholds {0.1 ms, 0.3 ms, 0.5ms, 1 ms, 1.5 ms, 2 ms, 2.5 ms, 3 ms} for TA reporting</w:t>
        </w:r>
      </w:hyperlink>
    </w:p>
    <w:p w14:paraId="6B8131E1" w14:textId="34A1FB77" w:rsidR="00AB0BC8" w:rsidRPr="00687D8F" w:rsidRDefault="006E1C82" w:rsidP="00687D8F">
      <w:pPr>
        <w:pStyle w:val="BodyText"/>
      </w:pPr>
      <w:r>
        <w:rPr>
          <w:b/>
          <w:bCs/>
          <w:lang w:val="en-US"/>
        </w:rPr>
        <w:fldChar w:fldCharType="end"/>
      </w:r>
    </w:p>
    <w:sectPr w:rsidR="00AB0BC8" w:rsidRPr="00687D8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8C04A" w14:textId="77777777" w:rsidR="004674B7" w:rsidRDefault="004674B7">
      <w:r>
        <w:separator/>
      </w:r>
    </w:p>
  </w:endnote>
  <w:endnote w:type="continuationSeparator" w:id="0">
    <w:p w14:paraId="2A1B1B87" w14:textId="77777777" w:rsidR="004674B7" w:rsidRDefault="004674B7">
      <w:r>
        <w:continuationSeparator/>
      </w:r>
    </w:p>
  </w:endnote>
  <w:endnote w:type="continuationNotice" w:id="1">
    <w:p w14:paraId="13A7A634" w14:textId="77777777" w:rsidR="004674B7" w:rsidRDefault="00467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162C" w14:textId="77777777" w:rsidR="00196DB6" w:rsidRDefault="00196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73D3" w14:textId="77777777" w:rsidR="004674B7" w:rsidRDefault="004674B7">
      <w:r>
        <w:separator/>
      </w:r>
    </w:p>
  </w:footnote>
  <w:footnote w:type="continuationSeparator" w:id="0">
    <w:p w14:paraId="572AAF72" w14:textId="77777777" w:rsidR="004674B7" w:rsidRDefault="004674B7">
      <w:r>
        <w:continuationSeparator/>
      </w:r>
    </w:p>
  </w:footnote>
  <w:footnote w:type="continuationNotice" w:id="1">
    <w:p w14:paraId="6B3AE861" w14:textId="77777777" w:rsidR="004674B7" w:rsidRDefault="00467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3E66" w14:textId="77777777" w:rsidR="00196DB6" w:rsidRDefault="00196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D63DC8"/>
    <w:multiLevelType w:val="hybridMultilevel"/>
    <w:tmpl w:val="9E8AA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B55E6F"/>
    <w:multiLevelType w:val="hybridMultilevel"/>
    <w:tmpl w:val="34D2AF12"/>
    <w:lvl w:ilvl="0" w:tplc="B898510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A8288950" w:tentative="1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555C237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1C28A674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BFCFD18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26003FC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99921A7A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44E434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52142AA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5"/>
  </w:num>
  <w:num w:numId="17">
    <w:abstractNumId w:val="7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6"/>
  </w:num>
  <w:num w:numId="23">
    <w:abstractNumId w:val="18"/>
  </w:num>
  <w:num w:numId="24">
    <w:abstractNumId w:val="24"/>
  </w:num>
  <w:num w:numId="25">
    <w:abstractNumId w:val="16"/>
  </w:num>
  <w:num w:numId="26">
    <w:abstractNumId w:val="13"/>
  </w:num>
  <w:num w:numId="27">
    <w:abstractNumId w:val="13"/>
  </w:num>
  <w:num w:numId="28">
    <w:abstractNumId w:val="6"/>
  </w:num>
  <w:num w:numId="29">
    <w:abstractNumId w:val="27"/>
  </w:num>
  <w:num w:numId="30">
    <w:abstractNumId w:val="22"/>
  </w:num>
  <w:num w:numId="31">
    <w:abstractNumId w:val="13"/>
  </w:num>
  <w:num w:numId="3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CC9"/>
    <w:rsid w:val="000006E1"/>
    <w:rsid w:val="00002A37"/>
    <w:rsid w:val="0000564C"/>
    <w:rsid w:val="00006446"/>
    <w:rsid w:val="00006896"/>
    <w:rsid w:val="00007CDC"/>
    <w:rsid w:val="00011B28"/>
    <w:rsid w:val="00011CA9"/>
    <w:rsid w:val="00012BCE"/>
    <w:rsid w:val="00015D15"/>
    <w:rsid w:val="0001690D"/>
    <w:rsid w:val="00017061"/>
    <w:rsid w:val="0002564D"/>
    <w:rsid w:val="00025ECA"/>
    <w:rsid w:val="000308C1"/>
    <w:rsid w:val="000325B8"/>
    <w:rsid w:val="00033E8E"/>
    <w:rsid w:val="00034C15"/>
    <w:rsid w:val="00036BA1"/>
    <w:rsid w:val="000422E2"/>
    <w:rsid w:val="00042F22"/>
    <w:rsid w:val="000444EF"/>
    <w:rsid w:val="00046811"/>
    <w:rsid w:val="00052A07"/>
    <w:rsid w:val="000534E3"/>
    <w:rsid w:val="000536EC"/>
    <w:rsid w:val="0005606A"/>
    <w:rsid w:val="00057117"/>
    <w:rsid w:val="00060911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AEB"/>
    <w:rsid w:val="0009510F"/>
    <w:rsid w:val="00097FAA"/>
    <w:rsid w:val="000A1B7B"/>
    <w:rsid w:val="000A4EE7"/>
    <w:rsid w:val="000A56F2"/>
    <w:rsid w:val="000B2719"/>
    <w:rsid w:val="000B3A8F"/>
    <w:rsid w:val="000B3E9F"/>
    <w:rsid w:val="000B4AB9"/>
    <w:rsid w:val="000B58C3"/>
    <w:rsid w:val="000B61E9"/>
    <w:rsid w:val="000C165A"/>
    <w:rsid w:val="000C2E19"/>
    <w:rsid w:val="000D07BA"/>
    <w:rsid w:val="000D0D07"/>
    <w:rsid w:val="000D4797"/>
    <w:rsid w:val="000D6F9B"/>
    <w:rsid w:val="000E0102"/>
    <w:rsid w:val="000E0527"/>
    <w:rsid w:val="000E1D59"/>
    <w:rsid w:val="000E1E92"/>
    <w:rsid w:val="000E2472"/>
    <w:rsid w:val="000E3D55"/>
    <w:rsid w:val="000E611B"/>
    <w:rsid w:val="000E6906"/>
    <w:rsid w:val="000F00D8"/>
    <w:rsid w:val="000F06D6"/>
    <w:rsid w:val="000F0B04"/>
    <w:rsid w:val="000F0EB1"/>
    <w:rsid w:val="000F1106"/>
    <w:rsid w:val="000F3BE9"/>
    <w:rsid w:val="000F3F6C"/>
    <w:rsid w:val="000F6DF3"/>
    <w:rsid w:val="000F7C3A"/>
    <w:rsid w:val="001005FF"/>
    <w:rsid w:val="001062FB"/>
    <w:rsid w:val="001063E6"/>
    <w:rsid w:val="001119AD"/>
    <w:rsid w:val="00113CF4"/>
    <w:rsid w:val="001153EA"/>
    <w:rsid w:val="00115643"/>
    <w:rsid w:val="00116765"/>
    <w:rsid w:val="001219F5"/>
    <w:rsid w:val="00121A20"/>
    <w:rsid w:val="00122B5B"/>
    <w:rsid w:val="0012377F"/>
    <w:rsid w:val="00124314"/>
    <w:rsid w:val="00125A27"/>
    <w:rsid w:val="00126B4A"/>
    <w:rsid w:val="00132FD0"/>
    <w:rsid w:val="001344C0"/>
    <w:rsid w:val="001346FA"/>
    <w:rsid w:val="00135252"/>
    <w:rsid w:val="00137AB5"/>
    <w:rsid w:val="00137F0B"/>
    <w:rsid w:val="001448EB"/>
    <w:rsid w:val="00150244"/>
    <w:rsid w:val="00151E23"/>
    <w:rsid w:val="001526E0"/>
    <w:rsid w:val="001551B5"/>
    <w:rsid w:val="00161E23"/>
    <w:rsid w:val="0016340C"/>
    <w:rsid w:val="0016539B"/>
    <w:rsid w:val="001659C1"/>
    <w:rsid w:val="00173A8E"/>
    <w:rsid w:val="0017502C"/>
    <w:rsid w:val="0018143F"/>
    <w:rsid w:val="00181FF8"/>
    <w:rsid w:val="00184454"/>
    <w:rsid w:val="00190AC1"/>
    <w:rsid w:val="0019341A"/>
    <w:rsid w:val="00196DB6"/>
    <w:rsid w:val="00197DF9"/>
    <w:rsid w:val="001A1987"/>
    <w:rsid w:val="001A2564"/>
    <w:rsid w:val="001A362A"/>
    <w:rsid w:val="001A6173"/>
    <w:rsid w:val="001A6CBA"/>
    <w:rsid w:val="001B0D97"/>
    <w:rsid w:val="001B5A5D"/>
    <w:rsid w:val="001C0603"/>
    <w:rsid w:val="001C1CE5"/>
    <w:rsid w:val="001C2E21"/>
    <w:rsid w:val="001C3D2A"/>
    <w:rsid w:val="001C67D9"/>
    <w:rsid w:val="001D3AA3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165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32E4"/>
    <w:rsid w:val="00235632"/>
    <w:rsid w:val="00235842"/>
    <w:rsid w:val="00235872"/>
    <w:rsid w:val="00241559"/>
    <w:rsid w:val="002435B3"/>
    <w:rsid w:val="002458EB"/>
    <w:rsid w:val="002500C8"/>
    <w:rsid w:val="0025351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589"/>
    <w:rsid w:val="002805F5"/>
    <w:rsid w:val="00280751"/>
    <w:rsid w:val="0028280A"/>
    <w:rsid w:val="00286ACD"/>
    <w:rsid w:val="00287838"/>
    <w:rsid w:val="002907B5"/>
    <w:rsid w:val="00292949"/>
    <w:rsid w:val="00292EB7"/>
    <w:rsid w:val="00293DB1"/>
    <w:rsid w:val="00296227"/>
    <w:rsid w:val="00296F44"/>
    <w:rsid w:val="0029777D"/>
    <w:rsid w:val="002A055E"/>
    <w:rsid w:val="002A1D4E"/>
    <w:rsid w:val="002A2869"/>
    <w:rsid w:val="002B24D6"/>
    <w:rsid w:val="002B25FD"/>
    <w:rsid w:val="002B3012"/>
    <w:rsid w:val="002C1301"/>
    <w:rsid w:val="002C41E6"/>
    <w:rsid w:val="002D071A"/>
    <w:rsid w:val="002D34B2"/>
    <w:rsid w:val="002D3B5B"/>
    <w:rsid w:val="002D48B0"/>
    <w:rsid w:val="002D5B37"/>
    <w:rsid w:val="002D7637"/>
    <w:rsid w:val="002E17F2"/>
    <w:rsid w:val="002E5845"/>
    <w:rsid w:val="002E7CAE"/>
    <w:rsid w:val="002F2771"/>
    <w:rsid w:val="002F37A9"/>
    <w:rsid w:val="002F3BD0"/>
    <w:rsid w:val="00300FE0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900"/>
    <w:rsid w:val="00334579"/>
    <w:rsid w:val="00335858"/>
    <w:rsid w:val="00336BDA"/>
    <w:rsid w:val="00342550"/>
    <w:rsid w:val="00342BD7"/>
    <w:rsid w:val="00344131"/>
    <w:rsid w:val="00346DB5"/>
    <w:rsid w:val="003477B1"/>
    <w:rsid w:val="003539CC"/>
    <w:rsid w:val="00357380"/>
    <w:rsid w:val="003602D9"/>
    <w:rsid w:val="003604CE"/>
    <w:rsid w:val="00367EFF"/>
    <w:rsid w:val="00370E47"/>
    <w:rsid w:val="003742AC"/>
    <w:rsid w:val="00376047"/>
    <w:rsid w:val="00377133"/>
    <w:rsid w:val="00377CE1"/>
    <w:rsid w:val="00381A13"/>
    <w:rsid w:val="00385BF0"/>
    <w:rsid w:val="00391A1F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6D8F"/>
    <w:rsid w:val="003E15FA"/>
    <w:rsid w:val="003E55E4"/>
    <w:rsid w:val="003E74E3"/>
    <w:rsid w:val="003F05C7"/>
    <w:rsid w:val="003F2CD4"/>
    <w:rsid w:val="003F3446"/>
    <w:rsid w:val="003F4445"/>
    <w:rsid w:val="003F6BBE"/>
    <w:rsid w:val="004000E8"/>
    <w:rsid w:val="004003CB"/>
    <w:rsid w:val="00402A10"/>
    <w:rsid w:val="00402E2B"/>
    <w:rsid w:val="0040512B"/>
    <w:rsid w:val="00405CA5"/>
    <w:rsid w:val="00407CD3"/>
    <w:rsid w:val="00410134"/>
    <w:rsid w:val="00410B72"/>
    <w:rsid w:val="00410F18"/>
    <w:rsid w:val="00412387"/>
    <w:rsid w:val="0041263E"/>
    <w:rsid w:val="00413AAC"/>
    <w:rsid w:val="00413E92"/>
    <w:rsid w:val="00414FFE"/>
    <w:rsid w:val="00421105"/>
    <w:rsid w:val="00421D03"/>
    <w:rsid w:val="00422AA4"/>
    <w:rsid w:val="004242F4"/>
    <w:rsid w:val="00427248"/>
    <w:rsid w:val="00427A72"/>
    <w:rsid w:val="00434DE1"/>
    <w:rsid w:val="00437447"/>
    <w:rsid w:val="00441A92"/>
    <w:rsid w:val="004431DC"/>
    <w:rsid w:val="00444F56"/>
    <w:rsid w:val="00446488"/>
    <w:rsid w:val="004517AA"/>
    <w:rsid w:val="00452C8E"/>
    <w:rsid w:val="00452CAC"/>
    <w:rsid w:val="00457565"/>
    <w:rsid w:val="00457B71"/>
    <w:rsid w:val="00457DE4"/>
    <w:rsid w:val="00465C4A"/>
    <w:rsid w:val="004669E2"/>
    <w:rsid w:val="004674B7"/>
    <w:rsid w:val="00470C31"/>
    <w:rsid w:val="004717A8"/>
    <w:rsid w:val="00471DE0"/>
    <w:rsid w:val="004734D0"/>
    <w:rsid w:val="004745C1"/>
    <w:rsid w:val="0047556B"/>
    <w:rsid w:val="00477768"/>
    <w:rsid w:val="00480CD1"/>
    <w:rsid w:val="0048134D"/>
    <w:rsid w:val="00492BC5"/>
    <w:rsid w:val="004964F1"/>
    <w:rsid w:val="004A0FA7"/>
    <w:rsid w:val="004A16BC"/>
    <w:rsid w:val="004A2B94"/>
    <w:rsid w:val="004B0AAC"/>
    <w:rsid w:val="004B59C2"/>
    <w:rsid w:val="004B6F6A"/>
    <w:rsid w:val="004B7C0C"/>
    <w:rsid w:val="004C3898"/>
    <w:rsid w:val="004D1DD8"/>
    <w:rsid w:val="004D2408"/>
    <w:rsid w:val="004D36B1"/>
    <w:rsid w:val="004D7EBD"/>
    <w:rsid w:val="004E2680"/>
    <w:rsid w:val="004E28F9"/>
    <w:rsid w:val="004E2B9F"/>
    <w:rsid w:val="004E462E"/>
    <w:rsid w:val="004E56DC"/>
    <w:rsid w:val="004E76F4"/>
    <w:rsid w:val="004F0B4E"/>
    <w:rsid w:val="004F0B6C"/>
    <w:rsid w:val="004F2078"/>
    <w:rsid w:val="004F2204"/>
    <w:rsid w:val="004F3827"/>
    <w:rsid w:val="004F4DA3"/>
    <w:rsid w:val="004F62F4"/>
    <w:rsid w:val="005024E5"/>
    <w:rsid w:val="00505060"/>
    <w:rsid w:val="00506557"/>
    <w:rsid w:val="0050677A"/>
    <w:rsid w:val="005108D8"/>
    <w:rsid w:val="005116F9"/>
    <w:rsid w:val="005153A7"/>
    <w:rsid w:val="00517F11"/>
    <w:rsid w:val="005215BD"/>
    <w:rsid w:val="005219CF"/>
    <w:rsid w:val="00521AD9"/>
    <w:rsid w:val="00530028"/>
    <w:rsid w:val="00532486"/>
    <w:rsid w:val="00534B59"/>
    <w:rsid w:val="00536759"/>
    <w:rsid w:val="00537C62"/>
    <w:rsid w:val="00543100"/>
    <w:rsid w:val="00545BC5"/>
    <w:rsid w:val="00546970"/>
    <w:rsid w:val="00547678"/>
    <w:rsid w:val="00554E19"/>
    <w:rsid w:val="005568AC"/>
    <w:rsid w:val="0056121F"/>
    <w:rsid w:val="005618F7"/>
    <w:rsid w:val="00572505"/>
    <w:rsid w:val="00582809"/>
    <w:rsid w:val="0058798C"/>
    <w:rsid w:val="005900FA"/>
    <w:rsid w:val="005930D2"/>
    <w:rsid w:val="005935A4"/>
    <w:rsid w:val="0059384E"/>
    <w:rsid w:val="00593A0E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5984"/>
    <w:rsid w:val="005C74FB"/>
    <w:rsid w:val="005D1602"/>
    <w:rsid w:val="005E156A"/>
    <w:rsid w:val="005E20B3"/>
    <w:rsid w:val="005E3689"/>
    <w:rsid w:val="005E385F"/>
    <w:rsid w:val="005E4CCA"/>
    <w:rsid w:val="005E4F2D"/>
    <w:rsid w:val="005E5B81"/>
    <w:rsid w:val="005E7606"/>
    <w:rsid w:val="005F2CB1"/>
    <w:rsid w:val="005F3025"/>
    <w:rsid w:val="005F5144"/>
    <w:rsid w:val="005F618C"/>
    <w:rsid w:val="005F6711"/>
    <w:rsid w:val="005F70BD"/>
    <w:rsid w:val="005F7C5B"/>
    <w:rsid w:val="0060283C"/>
    <w:rsid w:val="00604F14"/>
    <w:rsid w:val="0060548B"/>
    <w:rsid w:val="00606B6A"/>
    <w:rsid w:val="00611B83"/>
    <w:rsid w:val="00613257"/>
    <w:rsid w:val="00614581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891"/>
    <w:rsid w:val="0064396A"/>
    <w:rsid w:val="0064624E"/>
    <w:rsid w:val="00650AB9"/>
    <w:rsid w:val="006543C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980"/>
    <w:rsid w:val="006655EE"/>
    <w:rsid w:val="00667EE7"/>
    <w:rsid w:val="00670922"/>
    <w:rsid w:val="00670B39"/>
    <w:rsid w:val="00670BE1"/>
    <w:rsid w:val="0067218F"/>
    <w:rsid w:val="006741F2"/>
    <w:rsid w:val="00674CC3"/>
    <w:rsid w:val="00675C72"/>
    <w:rsid w:val="006771F9"/>
    <w:rsid w:val="006776D7"/>
    <w:rsid w:val="00680327"/>
    <w:rsid w:val="00681003"/>
    <w:rsid w:val="006817C9"/>
    <w:rsid w:val="00683ECE"/>
    <w:rsid w:val="00687D8F"/>
    <w:rsid w:val="00690E16"/>
    <w:rsid w:val="00695FC2"/>
    <w:rsid w:val="00696949"/>
    <w:rsid w:val="00697052"/>
    <w:rsid w:val="006A46FB"/>
    <w:rsid w:val="006A5417"/>
    <w:rsid w:val="006A5E28"/>
    <w:rsid w:val="006A6494"/>
    <w:rsid w:val="006A697B"/>
    <w:rsid w:val="006A7AFF"/>
    <w:rsid w:val="006B1816"/>
    <w:rsid w:val="006B2099"/>
    <w:rsid w:val="006B35D0"/>
    <w:rsid w:val="006B50CF"/>
    <w:rsid w:val="006B6358"/>
    <w:rsid w:val="006C03B8"/>
    <w:rsid w:val="006C5EC9"/>
    <w:rsid w:val="006C6059"/>
    <w:rsid w:val="006C7522"/>
    <w:rsid w:val="006D6F08"/>
    <w:rsid w:val="006E062C"/>
    <w:rsid w:val="006E1BF4"/>
    <w:rsid w:val="006E1C82"/>
    <w:rsid w:val="006E28B7"/>
    <w:rsid w:val="006E2A9B"/>
    <w:rsid w:val="006E3299"/>
    <w:rsid w:val="006E3310"/>
    <w:rsid w:val="006E4E39"/>
    <w:rsid w:val="006E565E"/>
    <w:rsid w:val="006E673D"/>
    <w:rsid w:val="006E75F5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41A"/>
    <w:rsid w:val="007257D0"/>
    <w:rsid w:val="00726EA6"/>
    <w:rsid w:val="00727208"/>
    <w:rsid w:val="00727680"/>
    <w:rsid w:val="0072794F"/>
    <w:rsid w:val="007348B1"/>
    <w:rsid w:val="00735008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30B"/>
    <w:rsid w:val="00785490"/>
    <w:rsid w:val="00791415"/>
    <w:rsid w:val="007925EA"/>
    <w:rsid w:val="00793CD8"/>
    <w:rsid w:val="00795C92"/>
    <w:rsid w:val="00796231"/>
    <w:rsid w:val="007A1CB3"/>
    <w:rsid w:val="007A274C"/>
    <w:rsid w:val="007A306F"/>
    <w:rsid w:val="007A3CAD"/>
    <w:rsid w:val="007A43A6"/>
    <w:rsid w:val="007A58A6"/>
    <w:rsid w:val="007A5A71"/>
    <w:rsid w:val="007A6F6D"/>
    <w:rsid w:val="007B3D2D"/>
    <w:rsid w:val="007B50AE"/>
    <w:rsid w:val="007B51DF"/>
    <w:rsid w:val="007C05DD"/>
    <w:rsid w:val="007C1C59"/>
    <w:rsid w:val="007C3D18"/>
    <w:rsid w:val="007C60BF"/>
    <w:rsid w:val="007C6A07"/>
    <w:rsid w:val="007C6F89"/>
    <w:rsid w:val="007C75A1"/>
    <w:rsid w:val="007C77A5"/>
    <w:rsid w:val="007D04E5"/>
    <w:rsid w:val="007D08B8"/>
    <w:rsid w:val="007D5901"/>
    <w:rsid w:val="007D64FF"/>
    <w:rsid w:val="007D7526"/>
    <w:rsid w:val="007E4610"/>
    <w:rsid w:val="007E4715"/>
    <w:rsid w:val="007E505B"/>
    <w:rsid w:val="007E6419"/>
    <w:rsid w:val="007E64ED"/>
    <w:rsid w:val="007E7091"/>
    <w:rsid w:val="007F63E7"/>
    <w:rsid w:val="00803FAE"/>
    <w:rsid w:val="008041E7"/>
    <w:rsid w:val="0080605F"/>
    <w:rsid w:val="0080682F"/>
    <w:rsid w:val="00807786"/>
    <w:rsid w:val="00811FCB"/>
    <w:rsid w:val="008155C3"/>
    <w:rsid w:val="008158D6"/>
    <w:rsid w:val="00817196"/>
    <w:rsid w:val="008235DB"/>
    <w:rsid w:val="00824AB4"/>
    <w:rsid w:val="00825C42"/>
    <w:rsid w:val="00825D25"/>
    <w:rsid w:val="00827D6F"/>
    <w:rsid w:val="00833590"/>
    <w:rsid w:val="008376AC"/>
    <w:rsid w:val="008444E8"/>
    <w:rsid w:val="00844A19"/>
    <w:rsid w:val="00844E80"/>
    <w:rsid w:val="00846FE7"/>
    <w:rsid w:val="00847BCE"/>
    <w:rsid w:val="008517C8"/>
    <w:rsid w:val="008525DD"/>
    <w:rsid w:val="00856911"/>
    <w:rsid w:val="008677FD"/>
    <w:rsid w:val="008706D4"/>
    <w:rsid w:val="00870BFD"/>
    <w:rsid w:val="00870F8A"/>
    <w:rsid w:val="008719A4"/>
    <w:rsid w:val="00871D23"/>
    <w:rsid w:val="00874312"/>
    <w:rsid w:val="0087437C"/>
    <w:rsid w:val="00875CD7"/>
    <w:rsid w:val="00876B4D"/>
    <w:rsid w:val="00877F18"/>
    <w:rsid w:val="0088357E"/>
    <w:rsid w:val="00884346"/>
    <w:rsid w:val="008871E6"/>
    <w:rsid w:val="008941E3"/>
    <w:rsid w:val="00894A88"/>
    <w:rsid w:val="00895386"/>
    <w:rsid w:val="008958D6"/>
    <w:rsid w:val="008A21FF"/>
    <w:rsid w:val="008A2CE2"/>
    <w:rsid w:val="008A30AC"/>
    <w:rsid w:val="008A30DB"/>
    <w:rsid w:val="008A44B8"/>
    <w:rsid w:val="008A51A8"/>
    <w:rsid w:val="008A54C7"/>
    <w:rsid w:val="008A73FB"/>
    <w:rsid w:val="008A77D8"/>
    <w:rsid w:val="008B0483"/>
    <w:rsid w:val="008B120C"/>
    <w:rsid w:val="008B51A0"/>
    <w:rsid w:val="008B592A"/>
    <w:rsid w:val="008B7B5C"/>
    <w:rsid w:val="008C0BD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C34"/>
    <w:rsid w:val="008D5F46"/>
    <w:rsid w:val="008D6D1A"/>
    <w:rsid w:val="008E065E"/>
    <w:rsid w:val="008E0927"/>
    <w:rsid w:val="008E1909"/>
    <w:rsid w:val="008F1EAB"/>
    <w:rsid w:val="008F24F6"/>
    <w:rsid w:val="008F33DC"/>
    <w:rsid w:val="008F477F"/>
    <w:rsid w:val="0090039D"/>
    <w:rsid w:val="00902350"/>
    <w:rsid w:val="00902A9F"/>
    <w:rsid w:val="0090336B"/>
    <w:rsid w:val="009053AA"/>
    <w:rsid w:val="00906011"/>
    <w:rsid w:val="00906939"/>
    <w:rsid w:val="00910B7D"/>
    <w:rsid w:val="00911DFB"/>
    <w:rsid w:val="0091381D"/>
    <w:rsid w:val="009139D9"/>
    <w:rsid w:val="00914AD8"/>
    <w:rsid w:val="00916079"/>
    <w:rsid w:val="00917CE9"/>
    <w:rsid w:val="00920BF2"/>
    <w:rsid w:val="00922010"/>
    <w:rsid w:val="00926DA9"/>
    <w:rsid w:val="00927D1C"/>
    <w:rsid w:val="00931BD9"/>
    <w:rsid w:val="009348D2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AE2"/>
    <w:rsid w:val="00953D47"/>
    <w:rsid w:val="0095681E"/>
    <w:rsid w:val="009572D4"/>
    <w:rsid w:val="00957DF2"/>
    <w:rsid w:val="00961921"/>
    <w:rsid w:val="0096430A"/>
    <w:rsid w:val="0096554B"/>
    <w:rsid w:val="0096584A"/>
    <w:rsid w:val="00971F08"/>
    <w:rsid w:val="00975D04"/>
    <w:rsid w:val="0097603D"/>
    <w:rsid w:val="00976949"/>
    <w:rsid w:val="00980477"/>
    <w:rsid w:val="009805A1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2F0"/>
    <w:rsid w:val="009D4D00"/>
    <w:rsid w:val="009D4FF0"/>
    <w:rsid w:val="009D703C"/>
    <w:rsid w:val="009D718F"/>
    <w:rsid w:val="009D786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2AB"/>
    <w:rsid w:val="00A1170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1E9B"/>
    <w:rsid w:val="00A444F6"/>
    <w:rsid w:val="00A45B74"/>
    <w:rsid w:val="00A52038"/>
    <w:rsid w:val="00A52E1D"/>
    <w:rsid w:val="00A5490B"/>
    <w:rsid w:val="00A61499"/>
    <w:rsid w:val="00A62A77"/>
    <w:rsid w:val="00A63483"/>
    <w:rsid w:val="00A657D7"/>
    <w:rsid w:val="00A65CE1"/>
    <w:rsid w:val="00A660AC"/>
    <w:rsid w:val="00A67E6C"/>
    <w:rsid w:val="00A71B99"/>
    <w:rsid w:val="00A72222"/>
    <w:rsid w:val="00A739D0"/>
    <w:rsid w:val="00A761D4"/>
    <w:rsid w:val="00A7700C"/>
    <w:rsid w:val="00A77EC4"/>
    <w:rsid w:val="00A9031E"/>
    <w:rsid w:val="00A92879"/>
    <w:rsid w:val="00A9442A"/>
    <w:rsid w:val="00A95C50"/>
    <w:rsid w:val="00AA016F"/>
    <w:rsid w:val="00AA08B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1CF"/>
    <w:rsid w:val="00AE27AC"/>
    <w:rsid w:val="00AE35F5"/>
    <w:rsid w:val="00AE40E0"/>
    <w:rsid w:val="00AE4DBA"/>
    <w:rsid w:val="00AE4F07"/>
    <w:rsid w:val="00AF0AF4"/>
    <w:rsid w:val="00AF1C5D"/>
    <w:rsid w:val="00AF42D7"/>
    <w:rsid w:val="00B006FE"/>
    <w:rsid w:val="00B007CB"/>
    <w:rsid w:val="00B02AA9"/>
    <w:rsid w:val="00B02FA3"/>
    <w:rsid w:val="00B05084"/>
    <w:rsid w:val="00B0791F"/>
    <w:rsid w:val="00B157F9"/>
    <w:rsid w:val="00B20256"/>
    <w:rsid w:val="00B20D09"/>
    <w:rsid w:val="00B2763F"/>
    <w:rsid w:val="00B27AAC"/>
    <w:rsid w:val="00B307A5"/>
    <w:rsid w:val="00B30929"/>
    <w:rsid w:val="00B31577"/>
    <w:rsid w:val="00B372AA"/>
    <w:rsid w:val="00B40445"/>
    <w:rsid w:val="00B409E0"/>
    <w:rsid w:val="00B41888"/>
    <w:rsid w:val="00B45A52"/>
    <w:rsid w:val="00B46175"/>
    <w:rsid w:val="00B4679E"/>
    <w:rsid w:val="00B548B7"/>
    <w:rsid w:val="00B55E98"/>
    <w:rsid w:val="00B6200B"/>
    <w:rsid w:val="00B62473"/>
    <w:rsid w:val="00B664C7"/>
    <w:rsid w:val="00B739F6"/>
    <w:rsid w:val="00B81A6C"/>
    <w:rsid w:val="00B85DE5"/>
    <w:rsid w:val="00B877AF"/>
    <w:rsid w:val="00B90F73"/>
    <w:rsid w:val="00B93B59"/>
    <w:rsid w:val="00B9406A"/>
    <w:rsid w:val="00BA2280"/>
    <w:rsid w:val="00BA2A08"/>
    <w:rsid w:val="00BA56D2"/>
    <w:rsid w:val="00BA76E0"/>
    <w:rsid w:val="00BB2A25"/>
    <w:rsid w:val="00BB41AD"/>
    <w:rsid w:val="00BB51E9"/>
    <w:rsid w:val="00BB716A"/>
    <w:rsid w:val="00BC0FDC"/>
    <w:rsid w:val="00BC3053"/>
    <w:rsid w:val="00BC4D2E"/>
    <w:rsid w:val="00BD0E28"/>
    <w:rsid w:val="00BD48AC"/>
    <w:rsid w:val="00BD5F1A"/>
    <w:rsid w:val="00BE1234"/>
    <w:rsid w:val="00BE2FA6"/>
    <w:rsid w:val="00BE333F"/>
    <w:rsid w:val="00BE3F17"/>
    <w:rsid w:val="00BE7406"/>
    <w:rsid w:val="00BE7603"/>
    <w:rsid w:val="00BF06B0"/>
    <w:rsid w:val="00BF3279"/>
    <w:rsid w:val="00BF74C7"/>
    <w:rsid w:val="00C015F1"/>
    <w:rsid w:val="00C01F33"/>
    <w:rsid w:val="00C0224B"/>
    <w:rsid w:val="00C02CC6"/>
    <w:rsid w:val="00C040F7"/>
    <w:rsid w:val="00C044AB"/>
    <w:rsid w:val="00C051AA"/>
    <w:rsid w:val="00C056D2"/>
    <w:rsid w:val="00C05706"/>
    <w:rsid w:val="00C07377"/>
    <w:rsid w:val="00C10478"/>
    <w:rsid w:val="00C12107"/>
    <w:rsid w:val="00C14D4B"/>
    <w:rsid w:val="00C154BB"/>
    <w:rsid w:val="00C253AA"/>
    <w:rsid w:val="00C268E6"/>
    <w:rsid w:val="00C279B5"/>
    <w:rsid w:val="00C27C45"/>
    <w:rsid w:val="00C335FA"/>
    <w:rsid w:val="00C363A7"/>
    <w:rsid w:val="00C3719D"/>
    <w:rsid w:val="00C37CB2"/>
    <w:rsid w:val="00C37DBF"/>
    <w:rsid w:val="00C473A5"/>
    <w:rsid w:val="00C534FC"/>
    <w:rsid w:val="00C542EE"/>
    <w:rsid w:val="00C54995"/>
    <w:rsid w:val="00C54D41"/>
    <w:rsid w:val="00C60783"/>
    <w:rsid w:val="00C64672"/>
    <w:rsid w:val="00C67867"/>
    <w:rsid w:val="00C70697"/>
    <w:rsid w:val="00C72093"/>
    <w:rsid w:val="00C72EF4"/>
    <w:rsid w:val="00C744FE"/>
    <w:rsid w:val="00C75D2F"/>
    <w:rsid w:val="00C767BE"/>
    <w:rsid w:val="00C76E3C"/>
    <w:rsid w:val="00C81568"/>
    <w:rsid w:val="00C82BAA"/>
    <w:rsid w:val="00C83517"/>
    <w:rsid w:val="00C9027A"/>
    <w:rsid w:val="00C9068E"/>
    <w:rsid w:val="00C93814"/>
    <w:rsid w:val="00C93C4B"/>
    <w:rsid w:val="00C944AB"/>
    <w:rsid w:val="00C95B40"/>
    <w:rsid w:val="00C95C8A"/>
    <w:rsid w:val="00CA1ED8"/>
    <w:rsid w:val="00CA2972"/>
    <w:rsid w:val="00CA3917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AE"/>
    <w:rsid w:val="00CE0424"/>
    <w:rsid w:val="00CE4435"/>
    <w:rsid w:val="00CE4F41"/>
    <w:rsid w:val="00CE7561"/>
    <w:rsid w:val="00CF1354"/>
    <w:rsid w:val="00CF2564"/>
    <w:rsid w:val="00CF3B1F"/>
    <w:rsid w:val="00CF3BF6"/>
    <w:rsid w:val="00CF3F59"/>
    <w:rsid w:val="00CF625B"/>
    <w:rsid w:val="00CF687E"/>
    <w:rsid w:val="00D02CD1"/>
    <w:rsid w:val="00D0349B"/>
    <w:rsid w:val="00D07149"/>
    <w:rsid w:val="00D10249"/>
    <w:rsid w:val="00D1067A"/>
    <w:rsid w:val="00D115C3"/>
    <w:rsid w:val="00D11897"/>
    <w:rsid w:val="00D11A3D"/>
    <w:rsid w:val="00D13135"/>
    <w:rsid w:val="00D13E4E"/>
    <w:rsid w:val="00D21D1C"/>
    <w:rsid w:val="00D21FCA"/>
    <w:rsid w:val="00D239A7"/>
    <w:rsid w:val="00D23F47"/>
    <w:rsid w:val="00D279E5"/>
    <w:rsid w:val="00D319C8"/>
    <w:rsid w:val="00D36E71"/>
    <w:rsid w:val="00D37D87"/>
    <w:rsid w:val="00D40B33"/>
    <w:rsid w:val="00D4318F"/>
    <w:rsid w:val="00D438BF"/>
    <w:rsid w:val="00D43C98"/>
    <w:rsid w:val="00D440F8"/>
    <w:rsid w:val="00D441C5"/>
    <w:rsid w:val="00D45E7F"/>
    <w:rsid w:val="00D51B4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577"/>
    <w:rsid w:val="00D86CA3"/>
    <w:rsid w:val="00D871CE"/>
    <w:rsid w:val="00D90B26"/>
    <w:rsid w:val="00D9196D"/>
    <w:rsid w:val="00D92982"/>
    <w:rsid w:val="00D9626A"/>
    <w:rsid w:val="00DA305E"/>
    <w:rsid w:val="00DA5417"/>
    <w:rsid w:val="00DA56E8"/>
    <w:rsid w:val="00DB0A9F"/>
    <w:rsid w:val="00DB377D"/>
    <w:rsid w:val="00DC24AF"/>
    <w:rsid w:val="00DC2D36"/>
    <w:rsid w:val="00DC53EF"/>
    <w:rsid w:val="00DE5608"/>
    <w:rsid w:val="00DE58D0"/>
    <w:rsid w:val="00DE654F"/>
    <w:rsid w:val="00DF0B6E"/>
    <w:rsid w:val="00DF15E0"/>
    <w:rsid w:val="00DF37A0"/>
    <w:rsid w:val="00DF3D53"/>
    <w:rsid w:val="00E110E7"/>
    <w:rsid w:val="00E11B20"/>
    <w:rsid w:val="00E11CE5"/>
    <w:rsid w:val="00E1276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1A1"/>
    <w:rsid w:val="00E35559"/>
    <w:rsid w:val="00E3723A"/>
    <w:rsid w:val="00E37860"/>
    <w:rsid w:val="00E40568"/>
    <w:rsid w:val="00E446F1"/>
    <w:rsid w:val="00E4490A"/>
    <w:rsid w:val="00E46886"/>
    <w:rsid w:val="00E47AEF"/>
    <w:rsid w:val="00E52966"/>
    <w:rsid w:val="00E53B75"/>
    <w:rsid w:val="00E54E3B"/>
    <w:rsid w:val="00E57565"/>
    <w:rsid w:val="00E61380"/>
    <w:rsid w:val="00E63838"/>
    <w:rsid w:val="00E64434"/>
    <w:rsid w:val="00E67C51"/>
    <w:rsid w:val="00E72EFC"/>
    <w:rsid w:val="00E758EC"/>
    <w:rsid w:val="00E8175E"/>
    <w:rsid w:val="00E8234C"/>
    <w:rsid w:val="00E83AA9"/>
    <w:rsid w:val="00E85928"/>
    <w:rsid w:val="00E87822"/>
    <w:rsid w:val="00E90395"/>
    <w:rsid w:val="00E90E49"/>
    <w:rsid w:val="00E90F29"/>
    <w:rsid w:val="00E917F9"/>
    <w:rsid w:val="00E9291C"/>
    <w:rsid w:val="00E93FFE"/>
    <w:rsid w:val="00E94F8A"/>
    <w:rsid w:val="00EA0E25"/>
    <w:rsid w:val="00EA7A41"/>
    <w:rsid w:val="00EB077B"/>
    <w:rsid w:val="00EB0825"/>
    <w:rsid w:val="00EB20FA"/>
    <w:rsid w:val="00EB4EA2"/>
    <w:rsid w:val="00EB5553"/>
    <w:rsid w:val="00EC0CD8"/>
    <w:rsid w:val="00EC24D5"/>
    <w:rsid w:val="00EC27C6"/>
    <w:rsid w:val="00EC3171"/>
    <w:rsid w:val="00EC4207"/>
    <w:rsid w:val="00EC5653"/>
    <w:rsid w:val="00EC71CE"/>
    <w:rsid w:val="00ED1006"/>
    <w:rsid w:val="00ED2504"/>
    <w:rsid w:val="00EF18FE"/>
    <w:rsid w:val="00EF26B7"/>
    <w:rsid w:val="00EF5787"/>
    <w:rsid w:val="00EF60D0"/>
    <w:rsid w:val="00F02CC9"/>
    <w:rsid w:val="00F02EDF"/>
    <w:rsid w:val="00F034E1"/>
    <w:rsid w:val="00F0528D"/>
    <w:rsid w:val="00F06C67"/>
    <w:rsid w:val="00F06DFD"/>
    <w:rsid w:val="00F071D1"/>
    <w:rsid w:val="00F07533"/>
    <w:rsid w:val="00F10629"/>
    <w:rsid w:val="00F15FA5"/>
    <w:rsid w:val="00F209B7"/>
    <w:rsid w:val="00F20D09"/>
    <w:rsid w:val="00F20F5C"/>
    <w:rsid w:val="00F2376F"/>
    <w:rsid w:val="00F243D8"/>
    <w:rsid w:val="00F273DF"/>
    <w:rsid w:val="00F30828"/>
    <w:rsid w:val="00F313D6"/>
    <w:rsid w:val="00F3502F"/>
    <w:rsid w:val="00F40F0C"/>
    <w:rsid w:val="00F463A7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F09"/>
    <w:rsid w:val="00FB4C80"/>
    <w:rsid w:val="00FB6A6A"/>
    <w:rsid w:val="00FC3D73"/>
    <w:rsid w:val="00FC7429"/>
    <w:rsid w:val="00FD07F6"/>
    <w:rsid w:val="00FD1EC8"/>
    <w:rsid w:val="00FD3089"/>
    <w:rsid w:val="00FD42E6"/>
    <w:rsid w:val="00FD47ED"/>
    <w:rsid w:val="00FD66AA"/>
    <w:rsid w:val="00FD74DB"/>
    <w:rsid w:val="00FD7660"/>
    <w:rsid w:val="00FE0655"/>
    <w:rsid w:val="00FE2365"/>
    <w:rsid w:val="00FE2979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30EE71"/>
  <w15:chartTrackingRefBased/>
  <w15:docId w15:val="{646385FB-5496-4513-92CB-EB92219D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CommentsChar">
    <w:name w:val="Comments Char"/>
    <w:link w:val="Comments"/>
    <w:qFormat/>
    <w:locked/>
    <w:rsid w:val="00DF3D5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DF3D5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customStyle="1" w:styleId="TACChar">
    <w:name w:val="TAC Char"/>
    <w:link w:val="TAC"/>
    <w:rsid w:val="009D32F0"/>
    <w:rPr>
      <w:rFonts w:ascii="Arial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B877AF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7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obeka\Ericsson%20AB\SWEA%20-%20Dokument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FE2A8B1-7A90-493F-A04D-867111FF9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2670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2726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(Robert)</dc:creator>
  <cp:keywords>3GPP; Ericsson; TDoc</cp:keywords>
  <dc:description/>
  <cp:lastModifiedBy>Ericsson (Robert)</cp:lastModifiedBy>
  <cp:revision>103</cp:revision>
  <cp:lastPrinted>2008-01-31T07:09:00Z</cp:lastPrinted>
  <dcterms:created xsi:type="dcterms:W3CDTF">2021-08-03T09:39:00Z</dcterms:created>
  <dcterms:modified xsi:type="dcterms:W3CDTF">2022-02-14T22:50:00Z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